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B652" w14:textId="5C0DF4CF" w:rsidR="00E93D4B" w:rsidRDefault="00E93D4B">
      <w:r w:rsidRPr="00DC7B9F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1E759BC4" wp14:editId="20E57DA1">
            <wp:extent cx="3335020" cy="8350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70FAD" w14:textId="3631ACF7" w:rsidR="00E93D4B" w:rsidRDefault="00E93D4B"/>
    <w:p w14:paraId="2AC546B0" w14:textId="62E3C00A" w:rsidR="00E93D4B" w:rsidRPr="00E93D4B" w:rsidRDefault="00E93D4B">
      <w:pPr>
        <w:rPr>
          <w:b/>
          <w:bCs/>
          <w:u w:val="single"/>
        </w:rPr>
      </w:pPr>
      <w:r w:rsidRPr="00E93D4B">
        <w:rPr>
          <w:b/>
          <w:bCs/>
          <w:u w:val="single"/>
        </w:rPr>
        <w:t>Trade Compliance Statement.</w:t>
      </w:r>
    </w:p>
    <w:p w14:paraId="31D5EC6C" w14:textId="5D104154" w:rsidR="00DD5235" w:rsidRDefault="00E93D4B">
      <w:pPr>
        <w:rPr>
          <w:rFonts w:ascii="Calibri" w:eastAsia="Times New Roman" w:hAnsi="Calibri" w:cs="Times New Roman"/>
          <w:sz w:val="20"/>
          <w:szCs w:val="20"/>
          <w:lang w:eastAsia="en-GB"/>
        </w:rPr>
      </w:pPr>
      <w:r>
        <w:t xml:space="preserve">Intelliconnect have a robust and comprehensive process for ensuring that our acceptance of customers orders </w:t>
      </w:r>
      <w:r w:rsidRPr="00DC7B9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meet with the companies’ legal obligations </w:t>
      </w:r>
      <w:proofErr w:type="gramStart"/>
      <w:r w:rsidRPr="00DC7B9F">
        <w:rPr>
          <w:rFonts w:ascii="Calibri" w:eastAsia="Times New Roman" w:hAnsi="Calibri" w:cs="Times New Roman"/>
          <w:sz w:val="20"/>
          <w:szCs w:val="20"/>
          <w:lang w:eastAsia="en-GB"/>
        </w:rPr>
        <w:t>in regards to</w:t>
      </w:r>
      <w:proofErr w:type="gramEnd"/>
      <w:r w:rsidRPr="00DC7B9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trade compliance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 xml:space="preserve"> both in the USA and UK.</w:t>
      </w:r>
    </w:p>
    <w:p w14:paraId="2F478B2B" w14:textId="6FB08E42" w:rsidR="00E93D4B" w:rsidRDefault="00E93D4B" w:rsidP="00E93D4B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sz w:val="20"/>
          <w:szCs w:val="20"/>
          <w:lang w:eastAsia="en-GB"/>
        </w:rPr>
        <w:t>Our Trade Compliance</w:t>
      </w:r>
      <w:r w:rsidRPr="00DC7B9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procedure is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 xml:space="preserve"> designed</w:t>
      </w:r>
      <w:r w:rsidRPr="00DC7B9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to ensure that Export Trade Compliance verification is carried out at the correct stages of the order and shipping process thus safeguarding the company from any inappropriate transactions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14:paraId="634E7AED" w14:textId="5B1E1F9F" w:rsidR="00E93D4B" w:rsidRPr="00DC7B9F" w:rsidRDefault="00E93D4B" w:rsidP="00E93D4B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sz w:val="20"/>
          <w:szCs w:val="20"/>
          <w:lang w:eastAsia="en-GB"/>
        </w:rPr>
        <w:t>(Full procedure is available to relevant authorities on request.)</w:t>
      </w:r>
    </w:p>
    <w:p w14:paraId="033DB2A3" w14:textId="77777777" w:rsidR="00E93D4B" w:rsidRDefault="00E93D4B"/>
    <w:sectPr w:rsidR="00E9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4B"/>
    <w:rsid w:val="00DD5235"/>
    <w:rsid w:val="00E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8101"/>
  <w15:chartTrackingRefBased/>
  <w15:docId w15:val="{6531311C-FD9E-4E9E-83C5-61857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Phillips - Intelliconnect (Europe) Ltd.</dc:creator>
  <cp:keywords/>
  <dc:description/>
  <cp:lastModifiedBy>Roy Phillips - Intelliconnect (Europe) Ltd.</cp:lastModifiedBy>
  <cp:revision>1</cp:revision>
  <dcterms:created xsi:type="dcterms:W3CDTF">2021-08-25T10:34:00Z</dcterms:created>
  <dcterms:modified xsi:type="dcterms:W3CDTF">2021-08-25T10:40:00Z</dcterms:modified>
</cp:coreProperties>
</file>